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5AA5" w:rsidRDefault="005F7613">
      <w:pPr>
        <w:widowControl w:val="0"/>
        <w:pBdr>
          <w:top w:val="nil"/>
          <w:left w:val="nil"/>
          <w:bottom w:val="nil"/>
          <w:right w:val="nil"/>
          <w:between w:val="nil"/>
        </w:pBdr>
        <w:spacing w:line="263" w:lineRule="auto"/>
        <w:ind w:left="3" w:right="93" w:firstLine="1"/>
        <w:rPr>
          <w:b/>
        </w:rPr>
      </w:pPr>
      <w:r>
        <w:rPr>
          <w:b/>
        </w:rPr>
        <w:t xml:space="preserve">Exploring the Closet: Reconceptualizing Machismo through Masculinity </w:t>
      </w:r>
    </w:p>
    <w:p w14:paraId="00000002" w14:textId="77777777" w:rsidR="00E45AA5" w:rsidRDefault="00E45AA5">
      <w:pPr>
        <w:widowControl w:val="0"/>
        <w:pBdr>
          <w:top w:val="nil"/>
          <w:left w:val="nil"/>
          <w:bottom w:val="nil"/>
          <w:right w:val="nil"/>
          <w:between w:val="nil"/>
        </w:pBdr>
        <w:spacing w:line="263" w:lineRule="auto"/>
        <w:ind w:left="3" w:right="93" w:firstLine="1"/>
        <w:rPr>
          <w:b/>
        </w:rPr>
      </w:pPr>
    </w:p>
    <w:p w14:paraId="00000003" w14:textId="77777777" w:rsidR="00E45AA5" w:rsidRDefault="005F7613">
      <w:pPr>
        <w:widowControl w:val="0"/>
        <w:pBdr>
          <w:top w:val="nil"/>
          <w:left w:val="nil"/>
          <w:bottom w:val="nil"/>
          <w:right w:val="nil"/>
          <w:between w:val="nil"/>
        </w:pBdr>
        <w:spacing w:line="240" w:lineRule="auto"/>
        <w:ind w:left="13" w:right="406" w:firstLine="1"/>
        <w:rPr>
          <w:sz w:val="20"/>
          <w:szCs w:val="20"/>
        </w:rPr>
      </w:pPr>
      <w:r>
        <w:rPr>
          <w:b/>
          <w:sz w:val="20"/>
          <w:szCs w:val="20"/>
          <w:u w:val="single"/>
        </w:rPr>
        <w:t>Jose Morin</w:t>
      </w:r>
      <w:r>
        <w:rPr>
          <w:color w:val="000000"/>
          <w:sz w:val="20"/>
          <w:szCs w:val="20"/>
        </w:rPr>
        <w:t>,</w:t>
      </w:r>
      <w:r>
        <w:rPr>
          <w:color w:val="000000"/>
          <w:sz w:val="21"/>
          <w:szCs w:val="21"/>
          <w:vertAlign w:val="superscript"/>
        </w:rPr>
        <w:t xml:space="preserve">a </w:t>
      </w:r>
      <w:r>
        <w:rPr>
          <w:sz w:val="20"/>
          <w:szCs w:val="20"/>
        </w:rPr>
        <w:t>Xiaogao Zhou</w:t>
      </w:r>
      <w:r>
        <w:rPr>
          <w:color w:val="000000"/>
          <w:sz w:val="20"/>
          <w:szCs w:val="20"/>
        </w:rPr>
        <w:t>,</w:t>
      </w:r>
      <w:r>
        <w:rPr>
          <w:sz w:val="21"/>
          <w:szCs w:val="21"/>
          <w:vertAlign w:val="superscript"/>
        </w:rPr>
        <w:t>a</w:t>
      </w:r>
      <w:r>
        <w:rPr>
          <w:color w:val="000000"/>
          <w:sz w:val="21"/>
          <w:szCs w:val="21"/>
          <w:vertAlign w:val="superscript"/>
        </w:rPr>
        <w:t xml:space="preserve"> </w:t>
      </w:r>
      <w:r>
        <w:rPr>
          <w:sz w:val="20"/>
          <w:szCs w:val="20"/>
        </w:rPr>
        <w:t>Agatha Slupek</w:t>
      </w:r>
      <w:r>
        <w:rPr>
          <w:color w:val="000000"/>
          <w:sz w:val="20"/>
          <w:szCs w:val="20"/>
        </w:rPr>
        <w:t>,</w:t>
      </w:r>
      <w:r>
        <w:rPr>
          <w:color w:val="000000"/>
          <w:sz w:val="21"/>
          <w:szCs w:val="21"/>
          <w:vertAlign w:val="superscript"/>
        </w:rPr>
        <w:t xml:space="preserve">b </w:t>
      </w:r>
      <w:r>
        <w:rPr>
          <w:color w:val="000000"/>
          <w:sz w:val="20"/>
          <w:szCs w:val="20"/>
        </w:rPr>
        <w:t>and *</w:t>
      </w:r>
      <w:r>
        <w:rPr>
          <w:sz w:val="20"/>
          <w:szCs w:val="20"/>
        </w:rPr>
        <w:t>Kristen Schilt</w:t>
      </w:r>
      <w:r>
        <w:rPr>
          <w:color w:val="000000"/>
          <w:sz w:val="20"/>
          <w:szCs w:val="20"/>
        </w:rPr>
        <w:t xml:space="preserve"> (PI) </w:t>
      </w:r>
      <w:r>
        <w:rPr>
          <w:color w:val="000000"/>
          <w:sz w:val="21"/>
          <w:szCs w:val="21"/>
          <w:vertAlign w:val="superscript"/>
        </w:rPr>
        <w:t xml:space="preserve">a </w:t>
      </w:r>
    </w:p>
    <w:p w14:paraId="00000004" w14:textId="77777777" w:rsidR="00E45AA5" w:rsidRDefault="005F7613">
      <w:pPr>
        <w:widowControl w:val="0"/>
        <w:pBdr>
          <w:top w:val="nil"/>
          <w:left w:val="nil"/>
          <w:bottom w:val="nil"/>
          <w:right w:val="nil"/>
          <w:between w:val="nil"/>
        </w:pBdr>
        <w:spacing w:line="240" w:lineRule="auto"/>
        <w:ind w:left="13" w:right="406" w:firstLine="1"/>
        <w:rPr>
          <w:i/>
          <w:color w:val="000000"/>
          <w:sz w:val="18"/>
          <w:szCs w:val="18"/>
        </w:rPr>
      </w:pPr>
      <w:r>
        <w:rPr>
          <w:i/>
          <w:color w:val="000000"/>
          <w:sz w:val="21"/>
          <w:szCs w:val="21"/>
          <w:vertAlign w:val="superscript"/>
        </w:rPr>
        <w:t>a</w:t>
      </w:r>
      <w:r>
        <w:rPr>
          <w:i/>
          <w:color w:val="000000"/>
          <w:sz w:val="18"/>
          <w:szCs w:val="18"/>
          <w:vertAlign w:val="superscript"/>
        </w:rPr>
        <w:t xml:space="preserve"> </w:t>
      </w:r>
      <w:r>
        <w:rPr>
          <w:i/>
          <w:sz w:val="18"/>
          <w:szCs w:val="18"/>
        </w:rPr>
        <w:t>Sociology</w:t>
      </w:r>
      <w:r>
        <w:rPr>
          <w:i/>
          <w:color w:val="000000"/>
          <w:sz w:val="18"/>
          <w:szCs w:val="18"/>
        </w:rPr>
        <w:t>, University of Ch</w:t>
      </w:r>
      <w:r>
        <w:rPr>
          <w:i/>
          <w:sz w:val="18"/>
          <w:szCs w:val="18"/>
        </w:rPr>
        <w:t>icago</w:t>
      </w:r>
      <w:r>
        <w:rPr>
          <w:i/>
          <w:color w:val="000000"/>
          <w:sz w:val="18"/>
          <w:szCs w:val="18"/>
        </w:rPr>
        <w:t>, C</w:t>
      </w:r>
      <w:r>
        <w:rPr>
          <w:i/>
          <w:sz w:val="18"/>
          <w:szCs w:val="18"/>
        </w:rPr>
        <w:t>hicago</w:t>
      </w:r>
      <w:r>
        <w:rPr>
          <w:i/>
          <w:color w:val="000000"/>
          <w:sz w:val="18"/>
          <w:szCs w:val="18"/>
        </w:rPr>
        <w:t xml:space="preserve">, </w:t>
      </w:r>
      <w:r>
        <w:rPr>
          <w:i/>
          <w:sz w:val="18"/>
          <w:szCs w:val="18"/>
        </w:rPr>
        <w:t>Illinois</w:t>
      </w:r>
      <w:r>
        <w:rPr>
          <w:i/>
          <w:color w:val="000000"/>
          <w:sz w:val="18"/>
          <w:szCs w:val="18"/>
        </w:rPr>
        <w:t xml:space="preserve">, </w:t>
      </w:r>
      <w:r>
        <w:rPr>
          <w:i/>
          <w:sz w:val="18"/>
          <w:szCs w:val="18"/>
        </w:rPr>
        <w:t>60637</w:t>
      </w:r>
      <w:r>
        <w:rPr>
          <w:i/>
          <w:color w:val="000000"/>
          <w:sz w:val="18"/>
          <w:szCs w:val="18"/>
        </w:rPr>
        <w:t xml:space="preserve">  </w:t>
      </w:r>
    </w:p>
    <w:p w14:paraId="00000005" w14:textId="77777777" w:rsidR="00E45AA5" w:rsidRDefault="005F7613">
      <w:pPr>
        <w:widowControl w:val="0"/>
        <w:pBdr>
          <w:top w:val="nil"/>
          <w:left w:val="nil"/>
          <w:bottom w:val="nil"/>
          <w:right w:val="nil"/>
          <w:between w:val="nil"/>
        </w:pBdr>
        <w:spacing w:line="240" w:lineRule="auto"/>
        <w:ind w:left="4"/>
        <w:rPr>
          <w:i/>
          <w:color w:val="000000"/>
          <w:sz w:val="18"/>
          <w:szCs w:val="18"/>
        </w:rPr>
      </w:pPr>
      <w:r>
        <w:rPr>
          <w:i/>
          <w:color w:val="000000"/>
          <w:sz w:val="21"/>
          <w:szCs w:val="21"/>
          <w:vertAlign w:val="superscript"/>
        </w:rPr>
        <w:t>b</w:t>
      </w:r>
      <w:r>
        <w:rPr>
          <w:i/>
          <w:color w:val="000000"/>
          <w:sz w:val="18"/>
          <w:szCs w:val="18"/>
          <w:vertAlign w:val="superscript"/>
        </w:rPr>
        <w:t xml:space="preserve"> </w:t>
      </w:r>
      <w:r>
        <w:rPr>
          <w:i/>
          <w:sz w:val="18"/>
          <w:szCs w:val="18"/>
        </w:rPr>
        <w:t>Political Science</w:t>
      </w:r>
      <w:r>
        <w:rPr>
          <w:i/>
          <w:color w:val="000000"/>
          <w:sz w:val="18"/>
          <w:szCs w:val="18"/>
        </w:rPr>
        <w:t>, University of Chicago, C</w:t>
      </w:r>
      <w:r>
        <w:rPr>
          <w:i/>
          <w:sz w:val="18"/>
          <w:szCs w:val="18"/>
        </w:rPr>
        <w:t>hicago</w:t>
      </w:r>
      <w:r>
        <w:rPr>
          <w:i/>
          <w:color w:val="000000"/>
          <w:sz w:val="18"/>
          <w:szCs w:val="18"/>
        </w:rPr>
        <w:t xml:space="preserve">, </w:t>
      </w:r>
      <w:r>
        <w:rPr>
          <w:i/>
          <w:sz w:val="18"/>
          <w:szCs w:val="18"/>
        </w:rPr>
        <w:t>Illinois</w:t>
      </w:r>
      <w:r>
        <w:rPr>
          <w:i/>
          <w:color w:val="000000"/>
          <w:sz w:val="18"/>
          <w:szCs w:val="18"/>
        </w:rPr>
        <w:t xml:space="preserve">, </w:t>
      </w:r>
      <w:r>
        <w:rPr>
          <w:i/>
          <w:sz w:val="18"/>
          <w:szCs w:val="18"/>
        </w:rPr>
        <w:t>60637</w:t>
      </w:r>
      <w:r>
        <w:rPr>
          <w:i/>
          <w:color w:val="000000"/>
          <w:sz w:val="18"/>
          <w:szCs w:val="18"/>
        </w:rPr>
        <w:t xml:space="preserve"> </w:t>
      </w:r>
    </w:p>
    <w:p w14:paraId="00000006" w14:textId="77777777" w:rsidR="00E45AA5" w:rsidRDefault="005F7613">
      <w:pPr>
        <w:widowControl w:val="0"/>
        <w:pBdr>
          <w:top w:val="nil"/>
          <w:left w:val="nil"/>
          <w:bottom w:val="nil"/>
          <w:right w:val="nil"/>
          <w:between w:val="nil"/>
        </w:pBdr>
        <w:spacing w:line="240" w:lineRule="auto"/>
        <w:ind w:left="9"/>
        <w:rPr>
          <w:i/>
          <w:color w:val="000000"/>
          <w:sz w:val="18"/>
          <w:szCs w:val="18"/>
        </w:rPr>
      </w:pPr>
      <w:r>
        <w:rPr>
          <w:i/>
          <w:color w:val="000000"/>
          <w:sz w:val="18"/>
          <w:szCs w:val="18"/>
        </w:rPr>
        <w:t xml:space="preserve">email: </w:t>
      </w:r>
      <w:r>
        <w:rPr>
          <w:i/>
          <w:sz w:val="18"/>
          <w:szCs w:val="18"/>
        </w:rPr>
        <w:t>jmorin@uchicago.edu</w:t>
      </w:r>
      <w:r>
        <w:rPr>
          <w:i/>
          <w:color w:val="000000"/>
          <w:sz w:val="18"/>
          <w:szCs w:val="18"/>
        </w:rPr>
        <w:t xml:space="preserve"> *PI: </w:t>
      </w:r>
      <w:r>
        <w:rPr>
          <w:i/>
          <w:sz w:val="18"/>
          <w:szCs w:val="18"/>
        </w:rPr>
        <w:t>kschilt@uchicago.edu</w:t>
      </w:r>
    </w:p>
    <w:p w14:paraId="00000007" w14:textId="450967FE" w:rsidR="00E45AA5" w:rsidRDefault="005F7613">
      <w:pPr>
        <w:widowControl w:val="0"/>
        <w:pBdr>
          <w:top w:val="nil"/>
          <w:left w:val="nil"/>
          <w:bottom w:val="nil"/>
          <w:right w:val="nil"/>
          <w:between w:val="nil"/>
        </w:pBdr>
        <w:spacing w:before="319" w:line="260" w:lineRule="auto"/>
        <w:ind w:hanging="3"/>
        <w:rPr>
          <w:color w:val="000000"/>
          <w:sz w:val="18"/>
          <w:szCs w:val="18"/>
        </w:rPr>
      </w:pPr>
      <w:r>
        <w:rPr>
          <w:sz w:val="18"/>
          <w:szCs w:val="18"/>
        </w:rPr>
        <w:t xml:space="preserve">Abstract: </w:t>
      </w:r>
      <w:r>
        <w:rPr>
          <w:color w:val="000000"/>
          <w:sz w:val="18"/>
          <w:szCs w:val="18"/>
        </w:rPr>
        <w:t xml:space="preserve">Machismo has been treated by a lot of literature as a negative component of Latinx masculinity, rarely attempting to understand the holistic effect of its cultural implications on gender or queer individuals. This study utilizes past literature focused on </w:t>
      </w:r>
      <w:r>
        <w:rPr>
          <w:color w:val="000000"/>
          <w:sz w:val="18"/>
          <w:szCs w:val="18"/>
        </w:rPr>
        <w:t xml:space="preserve">reconceptualizing hegemonic masculinity, hybrid masculinity, and homomasculinity </w:t>
      </w:r>
      <w:r>
        <w:rPr>
          <w:color w:val="000000"/>
          <w:sz w:val="18"/>
          <w:szCs w:val="18"/>
        </w:rPr>
        <w:t>to create a framework to reconceptualize the cultural value of machismo, within U.S.-</w:t>
      </w:r>
      <w:r>
        <w:rPr>
          <w:color w:val="000000"/>
          <w:sz w:val="18"/>
          <w:szCs w:val="18"/>
        </w:rPr>
        <w:t>born</w:t>
      </w:r>
      <w:r>
        <w:rPr>
          <w:sz w:val="18"/>
          <w:szCs w:val="18"/>
        </w:rPr>
        <w:t>,</w:t>
      </w:r>
      <w:r>
        <w:rPr>
          <w:color w:val="000000"/>
          <w:sz w:val="18"/>
          <w:szCs w:val="18"/>
        </w:rPr>
        <w:t xml:space="preserve"> queer Latinx sons of immigrants. Drawing from 15 different qualitative </w:t>
      </w:r>
      <w:r>
        <w:rPr>
          <w:color w:val="000000"/>
          <w:sz w:val="18"/>
          <w:szCs w:val="18"/>
        </w:rPr>
        <w:t>interviews, this study examines the cultural mechanisms and creations utilized by the participants in negotiation with their visualization of machismo within Latinx communities where their sexuality is disclosed and public. These men illustrate specific st</w:t>
      </w:r>
      <w:r>
        <w:rPr>
          <w:color w:val="000000"/>
          <w:sz w:val="18"/>
          <w:szCs w:val="18"/>
        </w:rPr>
        <w:t>rategies they have adapted in their attempts to safely navigate sexuality within the context of machismo while attempting to maintain their autonomy as queer bodies. These findings implicate that masculinities performed in different ethnic environments nee</w:t>
      </w:r>
      <w:r>
        <w:rPr>
          <w:color w:val="000000"/>
          <w:sz w:val="18"/>
          <w:szCs w:val="18"/>
        </w:rPr>
        <w:t>d to be reconceptualized and provided a diverse framework for analysis in its development in order to fully understand the relational influence they hold over queer, male presenting bodies.</w:t>
      </w:r>
    </w:p>
    <w:p w14:paraId="00000008" w14:textId="77777777" w:rsidR="00E45AA5" w:rsidRDefault="005F7613">
      <w:pPr>
        <w:widowControl w:val="0"/>
        <w:pBdr>
          <w:top w:val="nil"/>
          <w:left w:val="nil"/>
          <w:bottom w:val="nil"/>
          <w:right w:val="nil"/>
          <w:between w:val="nil"/>
        </w:pBdr>
        <w:spacing w:before="241" w:line="240" w:lineRule="auto"/>
        <w:rPr>
          <w:rFonts w:ascii="Trebuchet MS" w:eastAsia="Trebuchet MS" w:hAnsi="Trebuchet MS" w:cs="Trebuchet MS"/>
          <w:i/>
          <w:color w:val="7F7F7F"/>
          <w:sz w:val="20"/>
          <w:szCs w:val="20"/>
        </w:rPr>
      </w:pPr>
      <w:r>
        <w:rPr>
          <w:rFonts w:ascii="Trebuchet MS" w:eastAsia="Trebuchet MS" w:hAnsi="Trebuchet MS" w:cs="Trebuchet MS"/>
          <w:i/>
          <w:color w:val="666666"/>
          <w:sz w:val="20"/>
          <w:szCs w:val="20"/>
        </w:rPr>
        <w:t>References</w:t>
      </w:r>
      <w:r>
        <w:rPr>
          <w:rFonts w:ascii="Trebuchet MS" w:eastAsia="Trebuchet MS" w:hAnsi="Trebuchet MS" w:cs="Trebuchet MS"/>
          <w:i/>
          <w:color w:val="666666"/>
          <w:sz w:val="20"/>
          <w:szCs w:val="20"/>
        </w:rPr>
        <w:t>:</w:t>
      </w:r>
    </w:p>
    <w:p w14:paraId="00000009" w14:textId="77777777" w:rsidR="00E45AA5" w:rsidRDefault="00E45AA5">
      <w:pPr>
        <w:widowControl w:val="0"/>
        <w:spacing w:before="22" w:line="240" w:lineRule="auto"/>
        <w:ind w:left="12"/>
        <w:rPr>
          <w:sz w:val="18"/>
          <w:szCs w:val="18"/>
        </w:rPr>
      </w:pPr>
    </w:p>
    <w:p w14:paraId="0000000A" w14:textId="77777777" w:rsidR="00E45AA5" w:rsidRDefault="005F7613">
      <w:pPr>
        <w:widowControl w:val="0"/>
        <w:spacing w:before="22" w:line="240" w:lineRule="auto"/>
        <w:ind w:left="12"/>
        <w:rPr>
          <w:sz w:val="18"/>
          <w:szCs w:val="18"/>
        </w:rPr>
      </w:pPr>
      <w:r>
        <w:rPr>
          <w:sz w:val="18"/>
          <w:szCs w:val="18"/>
        </w:rPr>
        <w:t xml:space="preserve">[1] </w:t>
      </w:r>
      <w:r>
        <w:rPr>
          <w:sz w:val="18"/>
          <w:szCs w:val="18"/>
          <w:highlight w:val="white"/>
        </w:rPr>
        <w:t>Connell, R. W., &amp; Messerschmidt, J. W. (2005). Hegemonic masculinity: Rethinking the concept. Gender &amp; society, 19(6), 829-859.</w:t>
      </w:r>
    </w:p>
    <w:p w14:paraId="0000000B" w14:textId="77777777" w:rsidR="00E45AA5" w:rsidRDefault="005F7613">
      <w:pPr>
        <w:widowControl w:val="0"/>
        <w:pBdr>
          <w:top w:val="nil"/>
          <w:left w:val="nil"/>
          <w:bottom w:val="nil"/>
          <w:right w:val="nil"/>
          <w:between w:val="nil"/>
        </w:pBdr>
        <w:spacing w:before="22" w:line="240" w:lineRule="auto"/>
        <w:ind w:left="12"/>
        <w:rPr>
          <w:sz w:val="18"/>
          <w:szCs w:val="18"/>
        </w:rPr>
      </w:pPr>
      <w:r>
        <w:rPr>
          <w:sz w:val="18"/>
          <w:szCs w:val="18"/>
        </w:rPr>
        <w:t>[</w:t>
      </w:r>
      <w:r>
        <w:rPr>
          <w:sz w:val="18"/>
          <w:szCs w:val="18"/>
        </w:rPr>
        <w:t>2</w:t>
      </w:r>
      <w:r>
        <w:rPr>
          <w:sz w:val="18"/>
          <w:szCs w:val="18"/>
        </w:rPr>
        <w:t xml:space="preserve">] Ocampo, A. C. (2012). Making masculinity: Negotiations of gender presentation among Latino gay men. Latino Studies, 10(4), 448-472.  </w:t>
      </w:r>
    </w:p>
    <w:p w14:paraId="0000000C" w14:textId="77777777" w:rsidR="00E45AA5" w:rsidRDefault="005F7613">
      <w:pPr>
        <w:widowControl w:val="0"/>
        <w:pBdr>
          <w:top w:val="nil"/>
          <w:left w:val="nil"/>
          <w:bottom w:val="nil"/>
          <w:right w:val="nil"/>
          <w:between w:val="nil"/>
        </w:pBdr>
        <w:spacing w:before="27" w:line="240" w:lineRule="auto"/>
        <w:ind w:left="12"/>
        <w:rPr>
          <w:sz w:val="18"/>
          <w:szCs w:val="18"/>
        </w:rPr>
      </w:pPr>
      <w:r>
        <w:rPr>
          <w:sz w:val="18"/>
          <w:szCs w:val="18"/>
        </w:rPr>
        <w:t>[</w:t>
      </w:r>
      <w:r>
        <w:rPr>
          <w:sz w:val="18"/>
          <w:szCs w:val="18"/>
        </w:rPr>
        <w:t>3</w:t>
      </w:r>
      <w:r>
        <w:rPr>
          <w:sz w:val="18"/>
          <w:szCs w:val="18"/>
        </w:rPr>
        <w:t xml:space="preserve">] Yang, Y. (2020). What’s hegemonic about hegemonic masculinity? Legitimation and beyond. Sociological Theory, 38(4), </w:t>
      </w:r>
      <w:r>
        <w:rPr>
          <w:sz w:val="18"/>
          <w:szCs w:val="18"/>
        </w:rPr>
        <w:t>318-333.</w:t>
      </w:r>
    </w:p>
    <w:p w14:paraId="0000000D" w14:textId="77777777" w:rsidR="00E45AA5" w:rsidRDefault="00E45AA5">
      <w:pPr>
        <w:widowControl w:val="0"/>
        <w:pBdr>
          <w:top w:val="nil"/>
          <w:left w:val="nil"/>
          <w:bottom w:val="nil"/>
          <w:right w:val="nil"/>
          <w:between w:val="nil"/>
        </w:pBdr>
        <w:spacing w:before="27" w:line="240" w:lineRule="auto"/>
        <w:ind w:left="5"/>
        <w:rPr>
          <w:sz w:val="18"/>
          <w:szCs w:val="18"/>
        </w:rPr>
      </w:pPr>
    </w:p>
    <w:sectPr w:rsidR="00E45AA5">
      <w:pgSz w:w="12240" w:h="15840"/>
      <w:pgMar w:top="1425" w:right="1463" w:bottom="7862"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A5"/>
    <w:rsid w:val="005F7613"/>
    <w:rsid w:val="00E45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A609"/>
  <w15:docId w15:val="{E4FAEEDC-7B53-4078-B206-16E8CABB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oi28vn1tU8/ki6nMESHXTl/V8Q==">AMUW2mXA6fJECVsqm35mWpzQSVtLOlgOr7xwa+iFkpooEpEAIeYf4qIf8tmk7QR/ckNWgRsxPrjmd1E525cRkM/47XQ9ZWsCTY1kEzmTD7EpAFQi81XSjfU=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 Titanium</cp:lastModifiedBy>
  <cp:revision>2</cp:revision>
  <dcterms:created xsi:type="dcterms:W3CDTF">2021-05-08T06:52:00Z</dcterms:created>
  <dcterms:modified xsi:type="dcterms:W3CDTF">2021-05-08T06:54:00Z</dcterms:modified>
</cp:coreProperties>
</file>