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137C" w:rsidRDefault="007C5675">
      <w:pPr>
        <w:rPr>
          <w:rFonts w:ascii="Arial" w:eastAsia="Arial" w:hAnsi="Arial" w:cs="Arial"/>
          <w:b/>
          <w:sz w:val="22"/>
          <w:szCs w:val="22"/>
        </w:rPr>
      </w:pPr>
      <w:r>
        <w:rPr>
          <w:rFonts w:ascii="Arial" w:eastAsia="Arial" w:hAnsi="Arial" w:cs="Arial"/>
          <w:b/>
          <w:sz w:val="22"/>
          <w:szCs w:val="22"/>
        </w:rPr>
        <w:t>The Detection of Systemic Disease Risk Based on Microbiome Analysis and LAMP Technology Using a Portable Device, the LifeSmile </w:t>
      </w:r>
    </w:p>
    <w:p w14:paraId="00000002" w14:textId="77777777" w:rsidR="004C137C" w:rsidRDefault="004C137C">
      <w:pPr>
        <w:rPr>
          <w:rFonts w:ascii="Arial" w:eastAsia="Arial" w:hAnsi="Arial" w:cs="Arial"/>
          <w:sz w:val="22"/>
          <w:szCs w:val="22"/>
        </w:rPr>
      </w:pPr>
    </w:p>
    <w:p w14:paraId="00000003" w14:textId="77777777" w:rsidR="004C137C" w:rsidRDefault="007C5675">
      <w:pPr>
        <w:rPr>
          <w:rFonts w:ascii="Arial" w:eastAsia="Arial" w:hAnsi="Arial" w:cs="Arial"/>
          <w:i/>
          <w:sz w:val="18"/>
          <w:szCs w:val="18"/>
        </w:rPr>
      </w:pPr>
      <w:r>
        <w:rPr>
          <w:rFonts w:ascii="Arial" w:eastAsia="Arial" w:hAnsi="Arial" w:cs="Arial"/>
          <w:b/>
          <w:sz w:val="20"/>
          <w:szCs w:val="20"/>
          <w:u w:val="single"/>
        </w:rPr>
        <w:t>Laura Carmona</w:t>
      </w:r>
      <w:r>
        <w:rPr>
          <w:rFonts w:ascii="Arial" w:eastAsia="Arial" w:hAnsi="Arial" w:cs="Arial"/>
          <w:b/>
          <w:sz w:val="20"/>
          <w:szCs w:val="20"/>
        </w:rPr>
        <w:t>,</w:t>
      </w:r>
      <w:r>
        <w:rPr>
          <w:rFonts w:ascii="Arial" w:eastAsia="Arial" w:hAnsi="Arial" w:cs="Arial"/>
          <w:b/>
          <w:sz w:val="20"/>
          <w:szCs w:val="20"/>
          <w:vertAlign w:val="superscript"/>
        </w:rPr>
        <w:t>a</w:t>
      </w:r>
      <w:r>
        <w:rPr>
          <w:rFonts w:ascii="Arial" w:eastAsia="Arial" w:hAnsi="Arial" w:cs="Arial"/>
          <w:b/>
          <w:sz w:val="20"/>
          <w:szCs w:val="20"/>
        </w:rPr>
        <w:t xml:space="preserve"> </w:t>
      </w:r>
      <w:r>
        <w:rPr>
          <w:rFonts w:ascii="Arial" w:eastAsia="Arial" w:hAnsi="Arial" w:cs="Arial"/>
          <w:sz w:val="20"/>
          <w:szCs w:val="20"/>
        </w:rPr>
        <w:t>Melvin Soriano,</w:t>
      </w:r>
      <w:r>
        <w:rPr>
          <w:rFonts w:ascii="Arial" w:eastAsia="Arial" w:hAnsi="Arial" w:cs="Arial"/>
          <w:sz w:val="20"/>
          <w:szCs w:val="20"/>
          <w:vertAlign w:val="superscript"/>
        </w:rPr>
        <w:t>a,b</w:t>
      </w:r>
      <w:r>
        <w:rPr>
          <w:rFonts w:ascii="Arial" w:eastAsia="Arial" w:hAnsi="Arial" w:cs="Arial"/>
          <w:sz w:val="20"/>
          <w:szCs w:val="20"/>
        </w:rPr>
        <w:t xml:space="preserve"> Rhianna Lee,</w:t>
      </w:r>
      <w:r>
        <w:rPr>
          <w:rFonts w:ascii="Arial" w:eastAsia="Arial" w:hAnsi="Arial" w:cs="Arial"/>
          <w:sz w:val="20"/>
          <w:szCs w:val="20"/>
          <w:vertAlign w:val="superscript"/>
        </w:rPr>
        <w:t>a,b</w:t>
      </w:r>
      <w:r>
        <w:rPr>
          <w:rFonts w:ascii="Arial" w:eastAsia="Arial" w:hAnsi="Arial" w:cs="Arial"/>
          <w:sz w:val="20"/>
          <w:szCs w:val="20"/>
        </w:rPr>
        <w:t xml:space="preserve"> Jasmine Rosales,</w:t>
      </w:r>
      <w:r>
        <w:rPr>
          <w:rFonts w:ascii="Arial" w:eastAsia="Arial" w:hAnsi="Arial" w:cs="Arial"/>
          <w:sz w:val="20"/>
          <w:szCs w:val="20"/>
          <w:vertAlign w:val="superscript"/>
        </w:rPr>
        <w:t>a,c</w:t>
      </w:r>
      <w:r>
        <w:rPr>
          <w:rFonts w:ascii="Arial" w:eastAsia="Arial" w:hAnsi="Arial" w:cs="Arial"/>
          <w:sz w:val="20"/>
          <w:szCs w:val="20"/>
        </w:rPr>
        <w:t>, Kamille Romero,</w:t>
      </w:r>
      <w:r>
        <w:rPr>
          <w:rFonts w:ascii="Arial" w:eastAsia="Arial" w:hAnsi="Arial" w:cs="Arial"/>
          <w:sz w:val="20"/>
          <w:szCs w:val="20"/>
          <w:vertAlign w:val="superscript"/>
        </w:rPr>
        <w:t>a,d</w:t>
      </w:r>
      <w:r>
        <w:rPr>
          <w:rFonts w:ascii="Arial" w:eastAsia="Arial" w:hAnsi="Arial" w:cs="Arial"/>
          <w:sz w:val="20"/>
          <w:szCs w:val="20"/>
        </w:rPr>
        <w:t xml:space="preserve"> Raizel Ferrer,</w:t>
      </w:r>
      <w:r>
        <w:rPr>
          <w:rFonts w:ascii="Arial" w:eastAsia="Arial" w:hAnsi="Arial" w:cs="Arial"/>
          <w:sz w:val="20"/>
          <w:szCs w:val="20"/>
          <w:vertAlign w:val="superscript"/>
        </w:rPr>
        <w:t>a,e</w:t>
      </w:r>
      <w:r>
        <w:rPr>
          <w:rFonts w:ascii="Arial" w:eastAsia="Arial" w:hAnsi="Arial" w:cs="Arial"/>
          <w:sz w:val="20"/>
          <w:szCs w:val="20"/>
        </w:rPr>
        <w:t xml:space="preserve"> Vanessa Wong,</w:t>
      </w:r>
      <w:r>
        <w:rPr>
          <w:rFonts w:ascii="Arial" w:eastAsia="Arial" w:hAnsi="Arial" w:cs="Arial"/>
          <w:sz w:val="20"/>
          <w:szCs w:val="20"/>
          <w:vertAlign w:val="superscript"/>
        </w:rPr>
        <w:t>a,e</w:t>
      </w:r>
      <w:r>
        <w:rPr>
          <w:rFonts w:ascii="Arial" w:eastAsia="Arial" w:hAnsi="Arial" w:cs="Arial"/>
          <w:sz w:val="20"/>
          <w:szCs w:val="20"/>
        </w:rPr>
        <w:t xml:space="preserve"> Brandon Lyons,</w:t>
      </w:r>
      <w:r>
        <w:rPr>
          <w:rFonts w:ascii="Arial" w:eastAsia="Arial" w:hAnsi="Arial" w:cs="Arial"/>
          <w:sz w:val="20"/>
          <w:szCs w:val="20"/>
          <w:vertAlign w:val="superscript"/>
        </w:rPr>
        <w:t>a,e</w:t>
      </w:r>
      <w:r>
        <w:rPr>
          <w:rFonts w:ascii="Arial" w:eastAsia="Arial" w:hAnsi="Arial" w:cs="Arial"/>
          <w:sz w:val="20"/>
          <w:szCs w:val="20"/>
        </w:rPr>
        <w:t xml:space="preserve"> and *Dr. James Harber</w:t>
      </w:r>
      <w:r>
        <w:rPr>
          <w:rFonts w:ascii="Arial" w:eastAsia="Arial" w:hAnsi="Arial" w:cs="Arial"/>
          <w:sz w:val="20"/>
          <w:szCs w:val="20"/>
          <w:vertAlign w:val="superscript"/>
        </w:rPr>
        <w:t>a</w:t>
      </w:r>
      <w:r>
        <w:rPr>
          <w:rFonts w:ascii="Arial" w:eastAsia="Arial" w:hAnsi="Arial" w:cs="Arial"/>
          <w:sz w:val="22"/>
          <w:szCs w:val="22"/>
        </w:rPr>
        <w:br/>
      </w:r>
      <w:r>
        <w:rPr>
          <w:rFonts w:ascii="Arial" w:eastAsia="Arial" w:hAnsi="Arial" w:cs="Arial"/>
          <w:b/>
          <w:sz w:val="20"/>
          <w:szCs w:val="20"/>
          <w:vertAlign w:val="superscript"/>
        </w:rPr>
        <w:t>a</w:t>
      </w:r>
      <w:r>
        <w:rPr>
          <w:rFonts w:ascii="Arial" w:eastAsia="Arial" w:hAnsi="Arial" w:cs="Arial"/>
          <w:i/>
          <w:sz w:val="18"/>
          <w:szCs w:val="18"/>
        </w:rPr>
        <w:t xml:space="preserve"> Oxnard Community College, Oxnard CA, 93033</w:t>
      </w:r>
    </w:p>
    <w:p w14:paraId="00000004" w14:textId="77777777" w:rsidR="004C137C" w:rsidRDefault="007C5675">
      <w:pPr>
        <w:rPr>
          <w:rFonts w:ascii="Arial" w:eastAsia="Arial" w:hAnsi="Arial" w:cs="Arial"/>
          <w:i/>
          <w:sz w:val="18"/>
          <w:szCs w:val="18"/>
        </w:rPr>
      </w:pPr>
      <w:r>
        <w:rPr>
          <w:rFonts w:ascii="Arial" w:eastAsia="Arial" w:hAnsi="Arial" w:cs="Arial"/>
          <w:b/>
          <w:sz w:val="20"/>
          <w:szCs w:val="20"/>
          <w:vertAlign w:val="superscript"/>
        </w:rPr>
        <w:t>b</w:t>
      </w:r>
      <w:r>
        <w:rPr>
          <w:rFonts w:ascii="Arial" w:eastAsia="Arial" w:hAnsi="Arial" w:cs="Arial"/>
          <w:i/>
          <w:sz w:val="18"/>
          <w:szCs w:val="18"/>
        </w:rPr>
        <w:t xml:space="preserve"> University of California, Berkeley, CA, 94720</w:t>
      </w:r>
    </w:p>
    <w:p w14:paraId="00000005" w14:textId="77777777" w:rsidR="004C137C" w:rsidRDefault="007C5675">
      <w:pPr>
        <w:rPr>
          <w:rFonts w:ascii="Arial" w:eastAsia="Arial" w:hAnsi="Arial" w:cs="Arial"/>
          <w:i/>
          <w:sz w:val="18"/>
          <w:szCs w:val="18"/>
        </w:rPr>
      </w:pPr>
      <w:r>
        <w:rPr>
          <w:rFonts w:ascii="Arial" w:eastAsia="Arial" w:hAnsi="Arial" w:cs="Arial"/>
          <w:b/>
          <w:sz w:val="20"/>
          <w:szCs w:val="20"/>
          <w:vertAlign w:val="superscript"/>
        </w:rPr>
        <w:t>c</w:t>
      </w:r>
      <w:r>
        <w:rPr>
          <w:rFonts w:ascii="Arial" w:eastAsia="Arial" w:hAnsi="Arial" w:cs="Arial"/>
          <w:i/>
          <w:sz w:val="18"/>
          <w:szCs w:val="18"/>
        </w:rPr>
        <w:t xml:space="preserve"> University of California, Santa Barbara, CA 93106</w:t>
      </w:r>
    </w:p>
    <w:p w14:paraId="00000006" w14:textId="77777777" w:rsidR="004C137C" w:rsidRDefault="007C5675">
      <w:pPr>
        <w:rPr>
          <w:rFonts w:ascii="Arial" w:eastAsia="Arial" w:hAnsi="Arial" w:cs="Arial"/>
          <w:i/>
          <w:sz w:val="18"/>
          <w:szCs w:val="18"/>
        </w:rPr>
      </w:pPr>
      <w:r>
        <w:rPr>
          <w:rFonts w:ascii="Arial" w:eastAsia="Arial" w:hAnsi="Arial" w:cs="Arial"/>
          <w:b/>
          <w:sz w:val="20"/>
          <w:szCs w:val="20"/>
          <w:vertAlign w:val="superscript"/>
        </w:rPr>
        <w:t>d</w:t>
      </w:r>
      <w:r>
        <w:rPr>
          <w:rFonts w:ascii="Arial" w:eastAsia="Arial" w:hAnsi="Arial" w:cs="Arial"/>
          <w:i/>
          <w:sz w:val="18"/>
          <w:szCs w:val="18"/>
        </w:rPr>
        <w:t xml:space="preserve"> University of California, Davis, CA 95616</w:t>
      </w:r>
    </w:p>
    <w:p w14:paraId="00000007" w14:textId="77777777" w:rsidR="004C137C" w:rsidRDefault="007C5675">
      <w:pPr>
        <w:rPr>
          <w:rFonts w:ascii="Arial" w:eastAsia="Arial" w:hAnsi="Arial" w:cs="Arial"/>
          <w:i/>
          <w:sz w:val="18"/>
          <w:szCs w:val="18"/>
        </w:rPr>
      </w:pPr>
      <w:r>
        <w:rPr>
          <w:rFonts w:ascii="Arial" w:eastAsia="Arial" w:hAnsi="Arial" w:cs="Arial"/>
          <w:b/>
          <w:sz w:val="20"/>
          <w:szCs w:val="20"/>
          <w:vertAlign w:val="superscript"/>
        </w:rPr>
        <w:t>e</w:t>
      </w:r>
      <w:r>
        <w:rPr>
          <w:rFonts w:ascii="Arial" w:eastAsia="Arial" w:hAnsi="Arial" w:cs="Arial"/>
          <w:i/>
          <w:sz w:val="18"/>
          <w:szCs w:val="18"/>
        </w:rPr>
        <w:t xml:space="preserve"> University of California, Los Angeles, CA 90095 </w:t>
      </w:r>
    </w:p>
    <w:p w14:paraId="00000008" w14:textId="77777777" w:rsidR="004C137C" w:rsidRDefault="007C5675">
      <w:r>
        <w:rPr>
          <w:rFonts w:ascii="Arial" w:eastAsia="Arial" w:hAnsi="Arial" w:cs="Arial"/>
          <w:i/>
          <w:sz w:val="18"/>
          <w:szCs w:val="18"/>
        </w:rPr>
        <w:t xml:space="preserve">email: </w:t>
      </w:r>
      <w:hyperlink r:id="rId7">
        <w:r>
          <w:rPr>
            <w:rFonts w:ascii="Arial" w:eastAsia="Arial" w:hAnsi="Arial" w:cs="Arial"/>
            <w:i/>
            <w:color w:val="0563C1"/>
            <w:sz w:val="18"/>
            <w:szCs w:val="18"/>
            <w:u w:val="single"/>
          </w:rPr>
          <w:t>lauracrmona05@gmail.com</w:t>
        </w:r>
      </w:hyperlink>
      <w:r>
        <w:rPr>
          <w:rFonts w:ascii="Arial" w:eastAsia="Arial" w:hAnsi="Arial" w:cs="Arial"/>
          <w:i/>
          <w:sz w:val="18"/>
          <w:szCs w:val="18"/>
        </w:rPr>
        <w:t xml:space="preserve"> *PI: jim.harber@gmail.</w:t>
      </w:r>
      <w:r>
        <w:rPr>
          <w:rFonts w:ascii="Arial" w:eastAsia="Arial" w:hAnsi="Arial" w:cs="Arial"/>
          <w:sz w:val="18"/>
          <w:szCs w:val="18"/>
        </w:rPr>
        <w:t>com</w:t>
      </w:r>
    </w:p>
    <w:p w14:paraId="00000009" w14:textId="77777777" w:rsidR="004C137C" w:rsidRDefault="004C137C">
      <w:pPr>
        <w:rPr>
          <w:rFonts w:ascii="Arial" w:eastAsia="Arial" w:hAnsi="Arial" w:cs="Arial"/>
          <w:sz w:val="22"/>
          <w:szCs w:val="22"/>
        </w:rPr>
      </w:pPr>
    </w:p>
    <w:p w14:paraId="0000000A" w14:textId="5C0FF01B" w:rsidR="004C137C" w:rsidRDefault="007C5675">
      <w:pPr>
        <w:rPr>
          <w:rFonts w:ascii="Arial" w:eastAsia="Arial" w:hAnsi="Arial" w:cs="Arial"/>
          <w:sz w:val="18"/>
          <w:szCs w:val="18"/>
        </w:rPr>
      </w:pPr>
      <w:r>
        <w:rPr>
          <w:rFonts w:ascii="Arial" w:eastAsia="Arial" w:hAnsi="Arial" w:cs="Arial"/>
          <w:sz w:val="18"/>
          <w:szCs w:val="18"/>
        </w:rPr>
        <w:t>Abstract: The LifeSmile oral microbiome diagnostic dev</w:t>
      </w:r>
      <w:r>
        <w:rPr>
          <w:rFonts w:ascii="Arial" w:eastAsia="Arial" w:hAnsi="Arial" w:cs="Arial"/>
          <w:sz w:val="18"/>
          <w:szCs w:val="18"/>
        </w:rPr>
        <w:t>ice is proposed to assess systemic disease risk from the comfort of your home. Roughly 700 resident microorganisms inhabit the oral cavity and are influenced by diet, immune health, and gender. Recent studies indicate these bacteria are safe at low levels,</w:t>
      </w:r>
      <w:r>
        <w:rPr>
          <w:rFonts w:ascii="Arial" w:eastAsia="Arial" w:hAnsi="Arial" w:cs="Arial"/>
          <w:sz w:val="18"/>
          <w:szCs w:val="18"/>
        </w:rPr>
        <w:t xml:space="preserve"> but they become a danger to human health at high levels. More specifically, the risk for seven serious human pathologies rises significantly as specific bacterial populations increase. These “microbiome detectable diseases” include preterm labor, cardiova</w:t>
      </w:r>
      <w:r>
        <w:rPr>
          <w:rFonts w:ascii="Arial" w:eastAsia="Arial" w:hAnsi="Arial" w:cs="Arial"/>
          <w:sz w:val="18"/>
          <w:szCs w:val="18"/>
        </w:rPr>
        <w:t>scular disease, Alzheimer’s disease, and four cancers (oral, esophageal, pancreatic, and gastrointestinal) [1]. LifeSmile utilizes LAMP DNA amplification technology to produce a LED signal that informs the user of a healthy or at-risk oral microbiome. It i</w:t>
      </w:r>
      <w:r>
        <w:rPr>
          <w:rFonts w:ascii="Arial" w:eastAsia="Arial" w:hAnsi="Arial" w:cs="Arial"/>
          <w:sz w:val="18"/>
          <w:szCs w:val="18"/>
        </w:rPr>
        <w:t>s hypothesized that LifeSmile could process tooth swab sample</w:t>
      </w:r>
      <w:r w:rsidR="00F62808">
        <w:rPr>
          <w:rFonts w:ascii="Arial" w:eastAsia="Arial" w:hAnsi="Arial" w:cs="Arial"/>
          <w:sz w:val="18"/>
          <w:szCs w:val="18"/>
        </w:rPr>
        <w:t>s</w:t>
      </w:r>
      <w:r>
        <w:rPr>
          <w:rFonts w:ascii="Arial" w:eastAsia="Arial" w:hAnsi="Arial" w:cs="Arial"/>
          <w:sz w:val="18"/>
          <w:szCs w:val="18"/>
        </w:rPr>
        <w:t xml:space="preserve"> to detect the major disease-causing bacteria of the oral microbiome. Twelve individuals provided tooth samples to evaluate differences in the seven categories of bacteria corresponding to the “m</w:t>
      </w:r>
      <w:r>
        <w:rPr>
          <w:rFonts w:ascii="Arial" w:eastAsia="Arial" w:hAnsi="Arial" w:cs="Arial"/>
          <w:sz w:val="18"/>
          <w:szCs w:val="18"/>
        </w:rPr>
        <w:t xml:space="preserve">icrobiome detectable diseases.” Tooth DNA was extracted by scraping twelve individual’s teeth. Samples were then subject to next-generation Illumina MiSeq analysis to generate twelve individual oral microbiomes. A spreadsheet of these hundreds of bacteria </w:t>
      </w:r>
      <w:r>
        <w:rPr>
          <w:rFonts w:ascii="Arial" w:eastAsia="Arial" w:hAnsi="Arial" w:cs="Arial"/>
          <w:sz w:val="18"/>
          <w:szCs w:val="18"/>
        </w:rPr>
        <w:t>and their abundances was subject to manual data mining [2,3]. The LifeSmile device evaluates the levels of these seven individual at-risk bacteria found by data mining the oral microbiomes. The microbiome experimental data analysis combined with informatio</w:t>
      </w:r>
      <w:r>
        <w:rPr>
          <w:rFonts w:ascii="Arial" w:eastAsia="Arial" w:hAnsi="Arial" w:cs="Arial"/>
          <w:sz w:val="18"/>
          <w:szCs w:val="18"/>
        </w:rPr>
        <w:t>n from reviews of this subject established a rationale for building the LifeSmile portable device. It houses a more direct DNA extraction and detection technology (LAMP). LifeSmile contains a small centrifuge and biofluidic distribution mechanism to distri</w:t>
      </w:r>
      <w:r>
        <w:rPr>
          <w:rFonts w:ascii="Arial" w:eastAsia="Arial" w:hAnsi="Arial" w:cs="Arial"/>
          <w:sz w:val="18"/>
          <w:szCs w:val="18"/>
        </w:rPr>
        <w:t>bute DNA to chambers containing primers for specific bacteria using LAMP analysis. Risk is displayed as a low/high LED signal in minutes. LifeSmile is technologically feasible because analogous Covid LAMP or CRISPR technology devices are already marketed f</w:t>
      </w:r>
      <w:r>
        <w:rPr>
          <w:rFonts w:ascii="Arial" w:eastAsia="Arial" w:hAnsi="Arial" w:cs="Arial"/>
          <w:sz w:val="18"/>
          <w:szCs w:val="18"/>
        </w:rPr>
        <w:t>or home use.</w:t>
      </w:r>
    </w:p>
    <w:p w14:paraId="0000000B" w14:textId="77777777" w:rsidR="004C137C" w:rsidRDefault="004C137C">
      <w:pPr>
        <w:rPr>
          <w:rFonts w:ascii="Arial" w:eastAsia="Arial" w:hAnsi="Arial" w:cs="Arial"/>
          <w:sz w:val="22"/>
          <w:szCs w:val="22"/>
        </w:rPr>
      </w:pPr>
      <w:bookmarkStart w:id="0" w:name="_heading=h.gjdgxs" w:colFirst="0" w:colLast="0"/>
      <w:bookmarkEnd w:id="0"/>
    </w:p>
    <w:p w14:paraId="0000000C" w14:textId="77777777" w:rsidR="004C137C" w:rsidRDefault="007C5675">
      <w:pPr>
        <w:rPr>
          <w:i/>
        </w:rPr>
      </w:pPr>
      <w:r>
        <w:rPr>
          <w:rFonts w:ascii="Trebuchet MS" w:eastAsia="Trebuchet MS" w:hAnsi="Trebuchet MS" w:cs="Trebuchet MS"/>
          <w:i/>
          <w:color w:val="7F7F7F"/>
          <w:sz w:val="20"/>
          <w:szCs w:val="20"/>
        </w:rPr>
        <w:t>References</w:t>
      </w:r>
    </w:p>
    <w:p w14:paraId="0000000D" w14:textId="77777777" w:rsidR="004C137C" w:rsidRDefault="004C137C">
      <w:pPr>
        <w:rPr>
          <w:rFonts w:ascii="Arial" w:eastAsia="Arial" w:hAnsi="Arial" w:cs="Arial"/>
          <w:sz w:val="18"/>
          <w:szCs w:val="18"/>
        </w:rPr>
      </w:pPr>
    </w:p>
    <w:p w14:paraId="0000000E" w14:textId="77777777" w:rsidR="004C137C" w:rsidRDefault="007C5675">
      <w:pPr>
        <w:rPr>
          <w:rFonts w:ascii="Arial" w:eastAsia="Arial" w:hAnsi="Arial" w:cs="Arial"/>
          <w:color w:val="000000"/>
          <w:sz w:val="18"/>
          <w:szCs w:val="18"/>
        </w:rPr>
      </w:pPr>
      <w:r>
        <w:rPr>
          <w:rFonts w:ascii="Arial" w:eastAsia="Arial" w:hAnsi="Arial" w:cs="Arial"/>
          <w:color w:val="000000"/>
          <w:sz w:val="18"/>
          <w:szCs w:val="18"/>
        </w:rPr>
        <w:t>[1] Willis, J.R., and Gabaldón, T. (2020) The Human Oral Microbiome in Health and Disease: From Sequences to Ecosystems. Microorganisms, Feb;8(2): 308. doi: </w:t>
      </w:r>
      <w:hyperlink r:id="rId8">
        <w:r>
          <w:rPr>
            <w:rFonts w:ascii="Arial" w:eastAsia="Arial" w:hAnsi="Arial" w:cs="Arial"/>
            <w:color w:val="000000"/>
            <w:sz w:val="18"/>
            <w:szCs w:val="18"/>
            <w:u w:val="single"/>
          </w:rPr>
          <w:t>10.3390/microorganisms8020308</w:t>
        </w:r>
      </w:hyperlink>
    </w:p>
    <w:p w14:paraId="0000000F" w14:textId="77777777" w:rsidR="004C137C" w:rsidRDefault="004C137C">
      <w:pPr>
        <w:rPr>
          <w:rFonts w:ascii="Arial" w:eastAsia="Arial" w:hAnsi="Arial" w:cs="Arial"/>
          <w:color w:val="000000"/>
          <w:sz w:val="18"/>
          <w:szCs w:val="18"/>
        </w:rPr>
      </w:pPr>
    </w:p>
    <w:p w14:paraId="00000010" w14:textId="77777777" w:rsidR="004C137C" w:rsidRDefault="007C5675">
      <w:pPr>
        <w:rPr>
          <w:rFonts w:ascii="Arial" w:eastAsia="Arial" w:hAnsi="Arial" w:cs="Arial"/>
          <w:color w:val="000000"/>
          <w:sz w:val="18"/>
          <w:szCs w:val="18"/>
        </w:rPr>
      </w:pPr>
      <w:r>
        <w:rPr>
          <w:rFonts w:ascii="Arial" w:eastAsia="Arial" w:hAnsi="Arial" w:cs="Arial"/>
          <w:color w:val="000000"/>
          <w:sz w:val="18"/>
          <w:szCs w:val="18"/>
        </w:rPr>
        <w:t xml:space="preserve">[2] Surlin, P., Nicolae, F.M., Surlin, V.M., Patrascu, S., Ungureanu, B.S., Cristiana, A., Didilescu, A.C., and Gheonea,D.I. (2020). </w:t>
      </w:r>
      <w:r>
        <w:rPr>
          <w:sz w:val="18"/>
          <w:szCs w:val="18"/>
        </w:rPr>
        <w:t>Could Periodontal Diseas</w:t>
      </w:r>
      <w:r>
        <w:rPr>
          <w:sz w:val="18"/>
          <w:szCs w:val="18"/>
        </w:rPr>
        <w:t>e through Periopathogen Fusobacterium nucleatum be an Aggravating Factor for Gastric Cancer?</w:t>
      </w:r>
      <w:r>
        <w:rPr>
          <w:rFonts w:ascii="Arial" w:eastAsia="Arial" w:hAnsi="Arial" w:cs="Arial"/>
          <w:color w:val="000000"/>
          <w:sz w:val="18"/>
          <w:szCs w:val="18"/>
        </w:rPr>
        <w:t xml:space="preserve"> Journal of Clinical Medicine, 9(12), 3885. </w:t>
      </w:r>
      <w:r>
        <w:rPr>
          <w:rFonts w:ascii="Arial" w:eastAsia="Arial" w:hAnsi="Arial" w:cs="Arial"/>
          <w:color w:val="000000"/>
          <w:sz w:val="18"/>
          <w:szCs w:val="18"/>
          <w:highlight w:val="white"/>
        </w:rPr>
        <w:t>doi: </w:t>
      </w:r>
      <w:hyperlink r:id="rId9">
        <w:r>
          <w:rPr>
            <w:rFonts w:ascii="Arial" w:eastAsia="Arial" w:hAnsi="Arial" w:cs="Arial"/>
            <w:color w:val="000000"/>
            <w:sz w:val="18"/>
            <w:szCs w:val="18"/>
            <w:highlight w:val="white"/>
            <w:u w:val="single"/>
          </w:rPr>
          <w:t>10.3390/jcm9123885</w:t>
        </w:r>
      </w:hyperlink>
    </w:p>
    <w:p w14:paraId="00000011" w14:textId="77777777" w:rsidR="004C137C" w:rsidRDefault="004C137C">
      <w:pPr>
        <w:rPr>
          <w:rFonts w:ascii="Arial" w:eastAsia="Arial" w:hAnsi="Arial" w:cs="Arial"/>
          <w:color w:val="000000"/>
          <w:sz w:val="18"/>
          <w:szCs w:val="18"/>
        </w:rPr>
      </w:pPr>
    </w:p>
    <w:p w14:paraId="00000012" w14:textId="77777777" w:rsidR="004C137C" w:rsidRDefault="007C5675">
      <w:pPr>
        <w:rPr>
          <w:rFonts w:ascii="Arial" w:eastAsia="Arial" w:hAnsi="Arial" w:cs="Arial"/>
          <w:color w:val="000000"/>
          <w:sz w:val="18"/>
          <w:szCs w:val="18"/>
        </w:rPr>
      </w:pPr>
      <w:r>
        <w:rPr>
          <w:rFonts w:ascii="Arial" w:eastAsia="Arial" w:hAnsi="Arial" w:cs="Arial"/>
          <w:color w:val="000000"/>
          <w:sz w:val="18"/>
          <w:szCs w:val="18"/>
        </w:rPr>
        <w:t xml:space="preserve">[3] </w:t>
      </w:r>
      <w:r>
        <w:rPr>
          <w:rFonts w:ascii="Arial" w:eastAsia="Arial" w:hAnsi="Arial" w:cs="Arial"/>
          <w:color w:val="2D2D2D"/>
          <w:sz w:val="18"/>
          <w:szCs w:val="18"/>
        </w:rPr>
        <w:t xml:space="preserve">Sun, Z., Xiong, C., Teh, S. W., </w:t>
      </w:r>
      <w:r>
        <w:rPr>
          <w:rFonts w:ascii="Arial" w:eastAsia="Arial" w:hAnsi="Arial" w:cs="Arial"/>
          <w:color w:val="2D2D2D"/>
          <w:sz w:val="18"/>
          <w:szCs w:val="18"/>
        </w:rPr>
        <w:t xml:space="preserve">Lim, J., Kumar, S., &amp; Thilakavathy, K. (2019). Mechanisms of Oral Bacterial Virulence Factors in Pancreatic Cancer. Frontiers in Cellular and Infection microbiology, 9, 412. https://doi.org/10.3389/fcimb.2019.00412 </w:t>
      </w:r>
    </w:p>
    <w:p w14:paraId="00000013" w14:textId="77777777" w:rsidR="004C137C" w:rsidRDefault="004C137C">
      <w:pPr>
        <w:rPr>
          <w:rFonts w:ascii="Arial" w:eastAsia="Arial" w:hAnsi="Arial" w:cs="Arial"/>
          <w:sz w:val="18"/>
          <w:szCs w:val="18"/>
        </w:rPr>
      </w:pPr>
    </w:p>
    <w:p w14:paraId="00000014" w14:textId="77777777" w:rsidR="004C137C" w:rsidRDefault="004C137C"/>
    <w:sectPr w:rsidR="004C137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B49F" w14:textId="77777777" w:rsidR="007C5675" w:rsidRDefault="007C5675" w:rsidP="00F62808">
      <w:r>
        <w:separator/>
      </w:r>
    </w:p>
  </w:endnote>
  <w:endnote w:type="continuationSeparator" w:id="0">
    <w:p w14:paraId="09160B61" w14:textId="77777777" w:rsidR="007C5675" w:rsidRDefault="007C5675" w:rsidP="00F6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3DE4" w14:textId="77777777" w:rsidR="007C5675" w:rsidRDefault="007C5675" w:rsidP="00F62808">
      <w:r>
        <w:separator/>
      </w:r>
    </w:p>
  </w:footnote>
  <w:footnote w:type="continuationSeparator" w:id="0">
    <w:p w14:paraId="36A575BB" w14:textId="77777777" w:rsidR="007C5675" w:rsidRDefault="007C5675" w:rsidP="00F62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37C"/>
    <w:rsid w:val="004C137C"/>
    <w:rsid w:val="007C5675"/>
    <w:rsid w:val="00F62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30F4E"/>
  <w15:docId w15:val="{E4FAEEDC-7B53-4078-B206-16E8CABB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6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654F8"/>
    <w:rPr>
      <w:color w:val="0563C1" w:themeColor="hyperlink"/>
      <w:u w:val="single"/>
    </w:rPr>
  </w:style>
  <w:style w:type="character" w:styleId="UnresolvedMention">
    <w:name w:val="Unresolved Mention"/>
    <w:basedOn w:val="DefaultParagraphFont"/>
    <w:uiPriority w:val="99"/>
    <w:semiHidden/>
    <w:unhideWhenUsed/>
    <w:rsid w:val="005654F8"/>
    <w:rPr>
      <w:color w:val="605E5C"/>
      <w:shd w:val="clear" w:color="auto" w:fill="E1DFDD"/>
    </w:rPr>
  </w:style>
  <w:style w:type="character" w:styleId="FollowedHyperlink">
    <w:name w:val="FollowedHyperlink"/>
    <w:basedOn w:val="DefaultParagraphFont"/>
    <w:uiPriority w:val="99"/>
    <w:semiHidden/>
    <w:unhideWhenUsed/>
    <w:rsid w:val="004C0064"/>
    <w:rPr>
      <w:color w:val="954F72" w:themeColor="followedHyperlink"/>
      <w:u w:val="single"/>
    </w:rPr>
  </w:style>
  <w:style w:type="paragraph" w:styleId="NormalWeb">
    <w:name w:val="Normal (Web)"/>
    <w:basedOn w:val="Normal"/>
    <w:uiPriority w:val="99"/>
    <w:semiHidden/>
    <w:unhideWhenUsed/>
    <w:rsid w:val="00771AA6"/>
    <w:pPr>
      <w:spacing w:before="100" w:beforeAutospacing="1" w:after="100" w:afterAutospacing="1"/>
    </w:pPr>
  </w:style>
  <w:style w:type="character" w:styleId="Emphasis">
    <w:name w:val="Emphasis"/>
    <w:basedOn w:val="DefaultParagraphFont"/>
    <w:uiPriority w:val="20"/>
    <w:qFormat/>
    <w:rsid w:val="0097569B"/>
    <w:rPr>
      <w:i/>
      <w:iCs/>
    </w:rPr>
  </w:style>
  <w:style w:type="character" w:customStyle="1" w:styleId="fm-vol-iss-date">
    <w:name w:val="fm-vol-iss-date"/>
    <w:basedOn w:val="DefaultParagraphFont"/>
    <w:rsid w:val="00C22CB9"/>
  </w:style>
  <w:style w:type="character" w:customStyle="1" w:styleId="doi">
    <w:name w:val="doi"/>
    <w:basedOn w:val="DefaultParagraphFont"/>
    <w:rsid w:val="00C22CB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62808"/>
    <w:pPr>
      <w:tabs>
        <w:tab w:val="center" w:pos="4680"/>
        <w:tab w:val="right" w:pos="9360"/>
      </w:tabs>
    </w:pPr>
  </w:style>
  <w:style w:type="character" w:customStyle="1" w:styleId="HeaderChar">
    <w:name w:val="Header Char"/>
    <w:basedOn w:val="DefaultParagraphFont"/>
    <w:link w:val="Header"/>
    <w:uiPriority w:val="99"/>
    <w:rsid w:val="00F62808"/>
  </w:style>
  <w:style w:type="paragraph" w:styleId="Footer">
    <w:name w:val="footer"/>
    <w:basedOn w:val="Normal"/>
    <w:link w:val="FooterChar"/>
    <w:uiPriority w:val="99"/>
    <w:unhideWhenUsed/>
    <w:rsid w:val="00F62808"/>
    <w:pPr>
      <w:tabs>
        <w:tab w:val="center" w:pos="4680"/>
        <w:tab w:val="right" w:pos="9360"/>
      </w:tabs>
    </w:pPr>
  </w:style>
  <w:style w:type="character" w:customStyle="1" w:styleId="FooterChar">
    <w:name w:val="Footer Char"/>
    <w:basedOn w:val="DefaultParagraphFont"/>
    <w:link w:val="Footer"/>
    <w:uiPriority w:val="99"/>
    <w:rsid w:val="00F6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x.doi.org/10.3390%2Fmicroorganisms8020308" TargetMode="External"/><Relationship Id="rId3" Type="http://schemas.openxmlformats.org/officeDocument/2006/relationships/settings" Target="settings.xml"/><Relationship Id="rId7" Type="http://schemas.openxmlformats.org/officeDocument/2006/relationships/hyperlink" Target="mailto:lauracrmona05@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x.doi.org/10.3390%2Fjcm9123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LVXtv0G9yHgS8qAWTfPaHEdKw==">AMUW2mXpJ9M9BZukuhwoDmpD1np+wue/PllyV9dFjFsRBkshWCjKTL18s/B5g9XNbzCtKecJ2TOIEni58sBilMDj2WXmoBK7B3MG5FrMlVWr2ExuFctcVfJQM9OoW7NdWNhcBEV2u2Pm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Jon Titanium</cp:lastModifiedBy>
  <cp:revision>2</cp:revision>
  <dcterms:created xsi:type="dcterms:W3CDTF">2021-02-27T03:45:00Z</dcterms:created>
  <dcterms:modified xsi:type="dcterms:W3CDTF">2021-05-08T06:32:00Z</dcterms:modified>
</cp:coreProperties>
</file>